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61E" w:rsidRDefault="00D5561E">
      <w:pPr>
        <w:pStyle w:val="Title"/>
        <w:rPr>
          <w:caps/>
        </w:rPr>
      </w:pPr>
      <w:bookmarkStart w:id="0" w:name="_GoBack"/>
      <w:bookmarkEnd w:id="0"/>
      <w:r>
        <w:rPr>
          <w:caps/>
        </w:rPr>
        <w:t>Beginning Field Experience – SW 181</w:t>
      </w:r>
    </w:p>
    <w:p w:rsidR="00D5561E" w:rsidRDefault="00D5561E">
      <w:pPr>
        <w:pStyle w:val="Title"/>
        <w:spacing w:line="240" w:lineRule="auto"/>
      </w:pPr>
      <w:smartTag w:uri="urn:schemas-microsoft-com:office:smarttags" w:element="place">
        <w:smartTag w:uri="urn:schemas-microsoft-com:office:smarttags" w:element="PlaceName">
          <w:r>
            <w:t>Wartburg</w:t>
          </w:r>
        </w:smartTag>
        <w:r>
          <w:t xml:space="preserve"> </w:t>
        </w:r>
        <w:smartTag w:uri="urn:schemas-microsoft-com:office:smarttags" w:element="PlaceType">
          <w:r>
            <w:t>College</w:t>
          </w:r>
        </w:smartTag>
      </w:smartTag>
    </w:p>
    <w:p w:rsidR="00D5561E" w:rsidRDefault="00D5561E">
      <w:pPr>
        <w:pStyle w:val="Title"/>
        <w:spacing w:line="240" w:lineRule="auto"/>
        <w:rPr>
          <w:b w:val="0"/>
        </w:rPr>
      </w:pPr>
      <w:r>
        <w:t>Social Work Department</w:t>
      </w:r>
    </w:p>
    <w:p w:rsidR="00D5561E" w:rsidRDefault="00D5561E">
      <w:pPr>
        <w:pStyle w:val="Title"/>
        <w:spacing w:line="240" w:lineRule="auto"/>
        <w:jc w:val="left"/>
      </w:pPr>
    </w:p>
    <w:p w:rsidR="00D5561E" w:rsidRDefault="00D5561E">
      <w:pPr>
        <w:pStyle w:val="Title"/>
        <w:spacing w:line="240" w:lineRule="auto"/>
        <w:jc w:val="left"/>
        <w:rPr>
          <w:b w:val="0"/>
        </w:rPr>
      </w:pPr>
      <w:r>
        <w:tab/>
      </w:r>
      <w:r>
        <w:tab/>
      </w:r>
      <w:r>
        <w:tab/>
      </w:r>
      <w:r>
        <w:tab/>
      </w:r>
      <w:r>
        <w:tab/>
      </w:r>
      <w:r>
        <w:tab/>
      </w:r>
      <w:r>
        <w:tab/>
      </w:r>
      <w:r>
        <w:tab/>
      </w:r>
    </w:p>
    <w:p w:rsidR="00D5561E" w:rsidRDefault="00D5561E">
      <w:pPr>
        <w:jc w:val="both"/>
        <w:rPr>
          <w:sz w:val="20"/>
        </w:rPr>
      </w:pPr>
      <w:r>
        <w:rPr>
          <w:sz w:val="20"/>
        </w:rPr>
        <w:t xml:space="preserve">The </w:t>
      </w:r>
      <w:r>
        <w:rPr>
          <w:b/>
          <w:sz w:val="20"/>
          <w:u w:val="single"/>
        </w:rPr>
        <w:t>Beginning Field Experience</w:t>
      </w:r>
      <w:r>
        <w:rPr>
          <w:sz w:val="20"/>
        </w:rPr>
        <w:t xml:space="preserve"> course is a 3 ½ week (1</w:t>
      </w:r>
      <w:r w:rsidR="008D15F9">
        <w:rPr>
          <w:sz w:val="20"/>
        </w:rPr>
        <w:t>25</w:t>
      </w:r>
      <w:r>
        <w:rPr>
          <w:sz w:val="20"/>
        </w:rPr>
        <w:t>-hour) observation/field placement designed to give students some initial exposure to social work practice settings and populations.  It is geared specifically to students who are exploring social work or related professions as an academic major or career.</w:t>
      </w:r>
    </w:p>
    <w:p w:rsidR="00D5561E" w:rsidRDefault="00D5561E">
      <w:pPr>
        <w:jc w:val="both"/>
        <w:rPr>
          <w:sz w:val="20"/>
        </w:rPr>
      </w:pPr>
    </w:p>
    <w:p w:rsidR="00D5561E" w:rsidRDefault="00D5561E">
      <w:pPr>
        <w:pStyle w:val="Heading1"/>
        <w:rPr>
          <w:b/>
          <w:i/>
          <w:u w:val="none"/>
        </w:rPr>
      </w:pPr>
      <w:r>
        <w:rPr>
          <w:b/>
          <w:i/>
          <w:u w:val="none"/>
        </w:rPr>
        <w:t>Key Learning Objectives</w:t>
      </w:r>
    </w:p>
    <w:p w:rsidR="00D5561E" w:rsidRDefault="00D5561E">
      <w:pPr>
        <w:jc w:val="both"/>
        <w:rPr>
          <w:i/>
          <w:sz w:val="20"/>
        </w:rPr>
      </w:pPr>
    </w:p>
    <w:p w:rsidR="00D5561E" w:rsidRDefault="00D5561E">
      <w:pPr>
        <w:numPr>
          <w:ilvl w:val="0"/>
          <w:numId w:val="1"/>
        </w:numPr>
        <w:jc w:val="both"/>
        <w:rPr>
          <w:sz w:val="20"/>
        </w:rPr>
      </w:pPr>
      <w:r>
        <w:rPr>
          <w:sz w:val="20"/>
        </w:rPr>
        <w:t>Gain a basic exposure to the structure of a social service agency:  its goals, clientele, funding sources, and services.</w:t>
      </w:r>
    </w:p>
    <w:p w:rsidR="00D5561E" w:rsidRDefault="00D5561E">
      <w:pPr>
        <w:jc w:val="both"/>
        <w:rPr>
          <w:sz w:val="20"/>
        </w:rPr>
      </w:pPr>
    </w:p>
    <w:p w:rsidR="00D5561E" w:rsidRDefault="00D5561E">
      <w:pPr>
        <w:numPr>
          <w:ilvl w:val="0"/>
          <w:numId w:val="1"/>
        </w:numPr>
        <w:jc w:val="both"/>
        <w:rPr>
          <w:sz w:val="20"/>
        </w:rPr>
      </w:pPr>
      <w:r>
        <w:rPr>
          <w:sz w:val="20"/>
        </w:rPr>
        <w:t>Recognize how a social service agency interacts with its social environment; how it works with other agencies and community resources.</w:t>
      </w:r>
    </w:p>
    <w:p w:rsidR="00D5561E" w:rsidRDefault="00D5561E">
      <w:pPr>
        <w:jc w:val="both"/>
        <w:rPr>
          <w:sz w:val="20"/>
        </w:rPr>
      </w:pPr>
    </w:p>
    <w:p w:rsidR="00D5561E" w:rsidRDefault="00D5561E">
      <w:pPr>
        <w:numPr>
          <w:ilvl w:val="0"/>
          <w:numId w:val="1"/>
        </w:numPr>
        <w:jc w:val="both"/>
        <w:rPr>
          <w:sz w:val="20"/>
        </w:rPr>
      </w:pPr>
      <w:r>
        <w:rPr>
          <w:sz w:val="20"/>
        </w:rPr>
        <w:t>Interact, under supervision, with diverse social service consumers, while providing limited services on their behalf.</w:t>
      </w:r>
    </w:p>
    <w:p w:rsidR="00D5561E" w:rsidRDefault="00D5561E">
      <w:pPr>
        <w:jc w:val="both"/>
        <w:rPr>
          <w:sz w:val="20"/>
        </w:rPr>
      </w:pPr>
    </w:p>
    <w:p w:rsidR="00D5561E" w:rsidRDefault="00D5561E">
      <w:pPr>
        <w:numPr>
          <w:ilvl w:val="0"/>
          <w:numId w:val="1"/>
        </w:numPr>
        <w:jc w:val="both"/>
        <w:rPr>
          <w:sz w:val="20"/>
        </w:rPr>
      </w:pPr>
      <w:r>
        <w:rPr>
          <w:sz w:val="20"/>
        </w:rPr>
        <w:t>Gain a basic understanding of one’s potential for future professional practice.</w:t>
      </w:r>
    </w:p>
    <w:p w:rsidR="00D5561E" w:rsidRDefault="00D5561E">
      <w:pPr>
        <w:jc w:val="both"/>
        <w:rPr>
          <w:sz w:val="20"/>
        </w:rPr>
      </w:pPr>
    </w:p>
    <w:p w:rsidR="00D5561E" w:rsidRDefault="00D5561E">
      <w:pPr>
        <w:jc w:val="both"/>
        <w:rPr>
          <w:sz w:val="20"/>
        </w:rPr>
      </w:pPr>
    </w:p>
    <w:p w:rsidR="00D5561E" w:rsidRDefault="00D5561E">
      <w:pPr>
        <w:jc w:val="both"/>
        <w:rPr>
          <w:sz w:val="20"/>
        </w:rPr>
      </w:pPr>
    </w:p>
    <w:p w:rsidR="00D5561E" w:rsidRDefault="00D5561E">
      <w:pPr>
        <w:pStyle w:val="Heading2"/>
      </w:pPr>
      <w:r>
        <w:t>Course Parameters and Expectations</w:t>
      </w:r>
    </w:p>
    <w:p w:rsidR="00D5561E" w:rsidRDefault="00D5561E">
      <w:pPr>
        <w:jc w:val="both"/>
        <w:rPr>
          <w:sz w:val="20"/>
        </w:rPr>
      </w:pPr>
    </w:p>
    <w:p w:rsidR="00D5561E" w:rsidRDefault="00D5561E">
      <w:pPr>
        <w:jc w:val="both"/>
        <w:rPr>
          <w:sz w:val="20"/>
        </w:rPr>
      </w:pPr>
      <w:r>
        <w:rPr>
          <w:sz w:val="20"/>
        </w:rPr>
        <w:t xml:space="preserve">The placement should be </w:t>
      </w:r>
      <w:r w:rsidR="00AA1C63">
        <w:rPr>
          <w:sz w:val="20"/>
        </w:rPr>
        <w:t>a minimum of 125 hours at an agency.</w:t>
      </w:r>
      <w:r>
        <w:rPr>
          <w:sz w:val="20"/>
        </w:rPr>
        <w:t xml:space="preserve">  Students are typically in placement </w:t>
      </w:r>
      <w:r w:rsidR="00AA1C63">
        <w:rPr>
          <w:sz w:val="20"/>
        </w:rPr>
        <w:t>7</w:t>
      </w:r>
      <w:r>
        <w:rPr>
          <w:sz w:val="20"/>
        </w:rPr>
        <w:t xml:space="preserve"> hours per day, 5 days per week</w:t>
      </w:r>
      <w:r w:rsidR="00AA1C63">
        <w:rPr>
          <w:sz w:val="20"/>
        </w:rPr>
        <w:t xml:space="preserve"> for 18-19 days</w:t>
      </w:r>
      <w:r>
        <w:rPr>
          <w:sz w:val="20"/>
        </w:rPr>
        <w:t>.</w:t>
      </w:r>
      <w:r w:rsidR="00AA1C63">
        <w:rPr>
          <w:sz w:val="20"/>
        </w:rPr>
        <w:t xml:space="preserve"> Students are expected to spend an additional minimum of 15 hours using an online discussion forum and engaging in related activities (wellness, observing at another agency, etc).</w:t>
      </w:r>
    </w:p>
    <w:p w:rsidR="00D5561E" w:rsidRDefault="00D5561E">
      <w:pPr>
        <w:jc w:val="both"/>
        <w:rPr>
          <w:sz w:val="20"/>
        </w:rPr>
      </w:pPr>
    </w:p>
    <w:p w:rsidR="00D5561E" w:rsidRDefault="00D5561E">
      <w:pPr>
        <w:jc w:val="both"/>
        <w:rPr>
          <w:sz w:val="20"/>
        </w:rPr>
      </w:pPr>
      <w:r>
        <w:rPr>
          <w:sz w:val="20"/>
        </w:rPr>
        <w:t xml:space="preserve">Students should have opportunities to observe and interact with social workers and/or other human service professionals.  While it is unrealistic to expect students to engage in professional practice in such a short </w:t>
      </w:r>
      <w:r>
        <w:rPr>
          <w:sz w:val="20"/>
        </w:rPr>
        <w:lastRenderedPageBreak/>
        <w:t>placement, they should have opportunities to observe and interact with the agency’s clients in some capacity.</w:t>
      </w:r>
    </w:p>
    <w:p w:rsidR="00D5561E" w:rsidRDefault="00D5561E">
      <w:pPr>
        <w:jc w:val="both"/>
        <w:rPr>
          <w:sz w:val="20"/>
        </w:rPr>
      </w:pPr>
    </w:p>
    <w:p w:rsidR="00D5561E" w:rsidRDefault="00D5561E">
      <w:pPr>
        <w:jc w:val="both"/>
        <w:rPr>
          <w:sz w:val="20"/>
        </w:rPr>
      </w:pPr>
      <w:r>
        <w:rPr>
          <w:sz w:val="20"/>
        </w:rPr>
        <w:t xml:space="preserve">The agency should provide a staff person to supervise the student’s field experience and conduct a final written evaluation on forms provided by </w:t>
      </w:r>
      <w:smartTag w:uri="urn:schemas-microsoft-com:office:smarttags" w:element="place">
        <w:smartTag w:uri="urn:schemas-microsoft-com:office:smarttags" w:element="PlaceName">
          <w:r>
            <w:rPr>
              <w:sz w:val="20"/>
            </w:rPr>
            <w:t>Wartburg</w:t>
          </w:r>
        </w:smartTag>
        <w:r>
          <w:rPr>
            <w:sz w:val="20"/>
          </w:rPr>
          <w:t xml:space="preserve"> </w:t>
        </w:r>
        <w:smartTag w:uri="urn:schemas-microsoft-com:office:smarttags" w:element="PlaceType">
          <w:r>
            <w:rPr>
              <w:sz w:val="20"/>
            </w:rPr>
            <w:t>College</w:t>
          </w:r>
        </w:smartTag>
      </w:smartTag>
      <w:r>
        <w:rPr>
          <w:sz w:val="20"/>
        </w:rPr>
        <w:t>.</w:t>
      </w:r>
    </w:p>
    <w:p w:rsidR="00D5561E" w:rsidRDefault="00D5561E">
      <w:pPr>
        <w:jc w:val="both"/>
        <w:rPr>
          <w:sz w:val="20"/>
        </w:rPr>
      </w:pPr>
    </w:p>
    <w:p w:rsidR="00D5561E" w:rsidRDefault="00D5561E">
      <w:pPr>
        <w:jc w:val="both"/>
        <w:rPr>
          <w:sz w:val="20"/>
        </w:rPr>
      </w:pPr>
      <w:r>
        <w:rPr>
          <w:sz w:val="20"/>
        </w:rPr>
        <w:t>Students will be responsible for maintaining a record of their time spent in placement and submitting this documentation to their assigned faculty liaison.  Timekeeping is not the responsibility of the agency.</w:t>
      </w:r>
    </w:p>
    <w:p w:rsidR="00D5561E" w:rsidRDefault="00D5561E">
      <w:pPr>
        <w:jc w:val="both"/>
        <w:rPr>
          <w:sz w:val="20"/>
        </w:rPr>
      </w:pPr>
    </w:p>
    <w:p w:rsidR="00D5561E" w:rsidRDefault="006D3E16">
      <w:pPr>
        <w:jc w:val="both"/>
        <w:rPr>
          <w:sz w:val="20"/>
        </w:rPr>
      </w:pPr>
      <w:r>
        <w:rPr>
          <w:sz w:val="20"/>
        </w:rPr>
        <w:t>A</w:t>
      </w:r>
      <w:r w:rsidR="00D5561E">
        <w:rPr>
          <w:sz w:val="20"/>
        </w:rPr>
        <w:t xml:space="preserve"> Wartburg College Social Work </w:t>
      </w:r>
      <w:r>
        <w:rPr>
          <w:sz w:val="20"/>
        </w:rPr>
        <w:t>Department professor</w:t>
      </w:r>
      <w:r w:rsidR="00D5561E">
        <w:rPr>
          <w:sz w:val="20"/>
        </w:rPr>
        <w:t xml:space="preserve"> will maintain contact with the student and her/his assigned agency supervisor throughout the placement to serve as a resource and to intervene if any problems arise.</w:t>
      </w:r>
    </w:p>
    <w:p w:rsidR="002B1586" w:rsidRDefault="002B1586">
      <w:pPr>
        <w:jc w:val="both"/>
        <w:rPr>
          <w:sz w:val="20"/>
        </w:rPr>
      </w:pPr>
    </w:p>
    <w:p w:rsidR="00D5561E" w:rsidRDefault="002B1586" w:rsidP="00AA1C63">
      <w:pPr>
        <w:jc w:val="both"/>
        <w:rPr>
          <w:sz w:val="20"/>
        </w:rPr>
      </w:pPr>
      <w:r>
        <w:rPr>
          <w:sz w:val="20"/>
        </w:rPr>
        <w:t>Many agencies require background checks as part of the approval process.  Background checks will be conducted by Wartburg and the fee charged to your student account.  Please be absolutely honest about any prior issue when agreeing to the background check.</w:t>
      </w:r>
    </w:p>
    <w:p w:rsidR="00D5561E" w:rsidRDefault="00D5561E">
      <w:pPr>
        <w:rPr>
          <w:sz w:val="20"/>
        </w:rPr>
      </w:pPr>
    </w:p>
    <w:p w:rsidR="00D5561E" w:rsidRDefault="00D5561E">
      <w:pPr>
        <w:spacing w:line="360" w:lineRule="auto"/>
        <w:rPr>
          <w:sz w:val="20"/>
        </w:rPr>
      </w:pPr>
      <w:r>
        <w:rPr>
          <w:sz w:val="20"/>
        </w:rPr>
        <w:t xml:space="preserve">Questions about the </w:t>
      </w:r>
      <w:r>
        <w:rPr>
          <w:b/>
          <w:sz w:val="20"/>
          <w:u w:val="single"/>
        </w:rPr>
        <w:t>Beginning Field Experience</w:t>
      </w:r>
      <w:r>
        <w:rPr>
          <w:sz w:val="20"/>
        </w:rPr>
        <w:t xml:space="preserve"> should be directed to:</w:t>
      </w:r>
    </w:p>
    <w:p w:rsidR="00D5561E" w:rsidRDefault="00D5561E">
      <w:pPr>
        <w:ind w:left="2880"/>
        <w:rPr>
          <w:sz w:val="20"/>
        </w:rPr>
      </w:pPr>
    </w:p>
    <w:p w:rsidR="00534158" w:rsidRPr="00290E39" w:rsidRDefault="00534158" w:rsidP="00534158">
      <w:pPr>
        <w:ind w:left="1440"/>
      </w:pPr>
      <w:r>
        <w:t>Tammy Faux, MSSW, Ph.D.</w:t>
      </w:r>
    </w:p>
    <w:p w:rsidR="00534158" w:rsidRPr="00290E39" w:rsidRDefault="00534158" w:rsidP="00534158">
      <w:pPr>
        <w:ind w:left="1440"/>
      </w:pPr>
      <w:r w:rsidRPr="00290E39">
        <w:t>Field Education Coordinator</w:t>
      </w:r>
    </w:p>
    <w:p w:rsidR="00534158" w:rsidRPr="00290E39" w:rsidRDefault="00534158" w:rsidP="00534158">
      <w:pPr>
        <w:ind w:left="1440"/>
      </w:pPr>
      <w:r w:rsidRPr="00290E39">
        <w:t>Social Work Department</w:t>
      </w:r>
    </w:p>
    <w:p w:rsidR="00534158" w:rsidRPr="00290E39" w:rsidRDefault="00534158" w:rsidP="00534158">
      <w:pPr>
        <w:ind w:left="1440"/>
      </w:pPr>
      <w:r w:rsidRPr="00290E39">
        <w:t>Wartburg College</w:t>
      </w:r>
    </w:p>
    <w:p w:rsidR="00534158" w:rsidRDefault="00534158" w:rsidP="00534158">
      <w:pPr>
        <w:ind w:left="1440"/>
      </w:pPr>
      <w:r>
        <w:t>319-</w:t>
      </w:r>
      <w:r w:rsidRPr="00290E39">
        <w:t>352-</w:t>
      </w:r>
      <w:r>
        <w:t>8239; (cell) 319-610-9115</w:t>
      </w:r>
    </w:p>
    <w:p w:rsidR="00D5561E" w:rsidRDefault="001969B7" w:rsidP="00AA1C63">
      <w:pPr>
        <w:ind w:left="1440"/>
        <w:rPr>
          <w:sz w:val="20"/>
        </w:rPr>
      </w:pPr>
      <w:hyperlink r:id="rId7" w:history="1">
        <w:r w:rsidR="00534158" w:rsidRPr="003D4B4C">
          <w:rPr>
            <w:rStyle w:val="Hyperlink"/>
          </w:rPr>
          <w:t>tammy.faux@wartburg.edu</w:t>
        </w:r>
      </w:hyperlink>
      <w:r w:rsidR="00534158">
        <w:t xml:space="preserve"> </w:t>
      </w:r>
    </w:p>
    <w:sectPr w:rsidR="00D5561E" w:rsidSect="004546CC">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B7" w:rsidRDefault="001969B7">
      <w:r>
        <w:separator/>
      </w:r>
    </w:p>
  </w:endnote>
  <w:endnote w:type="continuationSeparator" w:id="0">
    <w:p w:rsidR="001969B7" w:rsidRDefault="0019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1E" w:rsidRDefault="00D5561E">
    <w:pPr>
      <w:pStyle w:val="Footer"/>
      <w:jc w:val="right"/>
      <w:rPr>
        <w:sz w:val="16"/>
      </w:rPr>
    </w:pPr>
    <w:r>
      <w:rPr>
        <w:sz w:val="16"/>
      </w:rPr>
      <w:t>R</w:t>
    </w:r>
    <w:r w:rsidR="0063013C">
      <w:rPr>
        <w:sz w:val="16"/>
      </w:rPr>
      <w:t xml:space="preserve">evised </w:t>
    </w:r>
    <w:r w:rsidR="00AA1C63">
      <w:rPr>
        <w:sz w:val="16"/>
      </w:rPr>
      <w:t>11/27/2018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B7" w:rsidRDefault="001969B7">
      <w:r>
        <w:separator/>
      </w:r>
    </w:p>
  </w:footnote>
  <w:footnote w:type="continuationSeparator" w:id="0">
    <w:p w:rsidR="001969B7" w:rsidRDefault="00196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643CB"/>
    <w:multiLevelType w:val="hybridMultilevel"/>
    <w:tmpl w:val="50F2CDCA"/>
    <w:lvl w:ilvl="0" w:tplc="13C00122">
      <w:start w:val="1"/>
      <w:numFmt w:val="decimal"/>
      <w:lvlText w:val="%1."/>
      <w:lvlJc w:val="left"/>
      <w:pPr>
        <w:tabs>
          <w:tab w:val="num" w:pos="720"/>
        </w:tabs>
        <w:ind w:left="720" w:hanging="360"/>
      </w:pPr>
      <w:rPr>
        <w:rFonts w:hint="default"/>
      </w:rPr>
    </w:lvl>
    <w:lvl w:ilvl="1" w:tplc="BD503C4E" w:tentative="1">
      <w:start w:val="1"/>
      <w:numFmt w:val="lowerLetter"/>
      <w:lvlText w:val="%2."/>
      <w:lvlJc w:val="left"/>
      <w:pPr>
        <w:tabs>
          <w:tab w:val="num" w:pos="1440"/>
        </w:tabs>
        <w:ind w:left="1440" w:hanging="360"/>
      </w:pPr>
    </w:lvl>
    <w:lvl w:ilvl="2" w:tplc="D4F0A6E6" w:tentative="1">
      <w:start w:val="1"/>
      <w:numFmt w:val="lowerRoman"/>
      <w:lvlText w:val="%3."/>
      <w:lvlJc w:val="right"/>
      <w:pPr>
        <w:tabs>
          <w:tab w:val="num" w:pos="2160"/>
        </w:tabs>
        <w:ind w:left="2160" w:hanging="180"/>
      </w:pPr>
    </w:lvl>
    <w:lvl w:ilvl="3" w:tplc="59629A48" w:tentative="1">
      <w:start w:val="1"/>
      <w:numFmt w:val="decimal"/>
      <w:lvlText w:val="%4."/>
      <w:lvlJc w:val="left"/>
      <w:pPr>
        <w:tabs>
          <w:tab w:val="num" w:pos="2880"/>
        </w:tabs>
        <w:ind w:left="2880" w:hanging="360"/>
      </w:pPr>
    </w:lvl>
    <w:lvl w:ilvl="4" w:tplc="27BA50A6" w:tentative="1">
      <w:start w:val="1"/>
      <w:numFmt w:val="lowerLetter"/>
      <w:lvlText w:val="%5."/>
      <w:lvlJc w:val="left"/>
      <w:pPr>
        <w:tabs>
          <w:tab w:val="num" w:pos="3600"/>
        </w:tabs>
        <w:ind w:left="3600" w:hanging="360"/>
      </w:pPr>
    </w:lvl>
    <w:lvl w:ilvl="5" w:tplc="897A97B6" w:tentative="1">
      <w:start w:val="1"/>
      <w:numFmt w:val="lowerRoman"/>
      <w:lvlText w:val="%6."/>
      <w:lvlJc w:val="right"/>
      <w:pPr>
        <w:tabs>
          <w:tab w:val="num" w:pos="4320"/>
        </w:tabs>
        <w:ind w:left="4320" w:hanging="180"/>
      </w:pPr>
    </w:lvl>
    <w:lvl w:ilvl="6" w:tplc="99F61978" w:tentative="1">
      <w:start w:val="1"/>
      <w:numFmt w:val="decimal"/>
      <w:lvlText w:val="%7."/>
      <w:lvlJc w:val="left"/>
      <w:pPr>
        <w:tabs>
          <w:tab w:val="num" w:pos="5040"/>
        </w:tabs>
        <w:ind w:left="5040" w:hanging="360"/>
      </w:pPr>
    </w:lvl>
    <w:lvl w:ilvl="7" w:tplc="51A8F244" w:tentative="1">
      <w:start w:val="1"/>
      <w:numFmt w:val="lowerLetter"/>
      <w:lvlText w:val="%8."/>
      <w:lvlJc w:val="left"/>
      <w:pPr>
        <w:tabs>
          <w:tab w:val="num" w:pos="5760"/>
        </w:tabs>
        <w:ind w:left="5760" w:hanging="360"/>
      </w:pPr>
    </w:lvl>
    <w:lvl w:ilvl="8" w:tplc="B280681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16"/>
    <w:rsid w:val="000D4D29"/>
    <w:rsid w:val="001969B7"/>
    <w:rsid w:val="002B1586"/>
    <w:rsid w:val="00301A76"/>
    <w:rsid w:val="004546CC"/>
    <w:rsid w:val="00534158"/>
    <w:rsid w:val="005F4ABE"/>
    <w:rsid w:val="0063013C"/>
    <w:rsid w:val="006D3E16"/>
    <w:rsid w:val="00897278"/>
    <w:rsid w:val="008D15F9"/>
    <w:rsid w:val="009B7B52"/>
    <w:rsid w:val="00AA1C63"/>
    <w:rsid w:val="00BA29D9"/>
    <w:rsid w:val="00BB153E"/>
    <w:rsid w:val="00D24D9D"/>
    <w:rsid w:val="00D5561E"/>
    <w:rsid w:val="00EE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4CC3D2D-662B-4832-A155-05DD6622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CC"/>
    <w:rPr>
      <w:sz w:val="24"/>
      <w:szCs w:val="24"/>
    </w:rPr>
  </w:style>
  <w:style w:type="paragraph" w:styleId="Heading1">
    <w:name w:val="heading 1"/>
    <w:basedOn w:val="Normal"/>
    <w:next w:val="Normal"/>
    <w:qFormat/>
    <w:rsid w:val="004546CC"/>
    <w:pPr>
      <w:keepNext/>
      <w:jc w:val="both"/>
      <w:outlineLvl w:val="0"/>
    </w:pPr>
    <w:rPr>
      <w:sz w:val="20"/>
      <w:u w:val="single"/>
    </w:rPr>
  </w:style>
  <w:style w:type="paragraph" w:styleId="Heading2">
    <w:name w:val="heading 2"/>
    <w:basedOn w:val="Normal"/>
    <w:next w:val="Normal"/>
    <w:qFormat/>
    <w:rsid w:val="004546CC"/>
    <w:pPr>
      <w:keepNext/>
      <w:jc w:val="both"/>
      <w:outlineLvl w:val="1"/>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46CC"/>
    <w:pPr>
      <w:spacing w:line="360" w:lineRule="auto"/>
      <w:jc w:val="center"/>
    </w:pPr>
    <w:rPr>
      <w:b/>
    </w:rPr>
  </w:style>
  <w:style w:type="character" w:styleId="Hyperlink">
    <w:name w:val="Hyperlink"/>
    <w:rsid w:val="004546CC"/>
    <w:rPr>
      <w:color w:val="0000FF"/>
      <w:u w:val="single"/>
    </w:rPr>
  </w:style>
  <w:style w:type="paragraph" w:styleId="Header">
    <w:name w:val="header"/>
    <w:basedOn w:val="Normal"/>
    <w:rsid w:val="004546CC"/>
    <w:pPr>
      <w:tabs>
        <w:tab w:val="center" w:pos="4320"/>
        <w:tab w:val="right" w:pos="8640"/>
      </w:tabs>
    </w:pPr>
  </w:style>
  <w:style w:type="paragraph" w:styleId="Footer">
    <w:name w:val="footer"/>
    <w:basedOn w:val="Normal"/>
    <w:rsid w:val="004546CC"/>
    <w:pPr>
      <w:tabs>
        <w:tab w:val="center" w:pos="4320"/>
        <w:tab w:val="right" w:pos="8640"/>
      </w:tabs>
    </w:pPr>
  </w:style>
  <w:style w:type="paragraph" w:styleId="BalloonText">
    <w:name w:val="Balloon Text"/>
    <w:basedOn w:val="Normal"/>
    <w:link w:val="BalloonTextChar"/>
    <w:uiPriority w:val="99"/>
    <w:semiHidden/>
    <w:unhideWhenUsed/>
    <w:rsid w:val="0063013C"/>
    <w:rPr>
      <w:rFonts w:ascii="Segoe UI" w:hAnsi="Segoe UI" w:cs="Segoe UI"/>
      <w:sz w:val="18"/>
      <w:szCs w:val="18"/>
    </w:rPr>
  </w:style>
  <w:style w:type="character" w:customStyle="1" w:styleId="BalloonTextChar">
    <w:name w:val="Balloon Text Char"/>
    <w:link w:val="BalloonText"/>
    <w:uiPriority w:val="99"/>
    <w:semiHidden/>
    <w:rsid w:val="0063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mmy.faux@wartbur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BEGINNING FIELD EXPERIENCE – SW 181</vt:lpstr>
      <vt:lpstr>Key Learning Objectives</vt:lpstr>
      <vt:lpstr>    Course Parameters and Expectations</vt:lpstr>
    </vt:vector>
  </TitlesOfParts>
  <Company>Wartburg College</Company>
  <LinksUpToDate>false</LinksUpToDate>
  <CharactersWithSpaces>2691</CharactersWithSpaces>
  <SharedDoc>false</SharedDoc>
  <HLinks>
    <vt:vector size="6" baseType="variant">
      <vt:variant>
        <vt:i4>6422537</vt:i4>
      </vt:variant>
      <vt:variant>
        <vt:i4>0</vt:i4>
      </vt:variant>
      <vt:variant>
        <vt:i4>0</vt:i4>
      </vt:variant>
      <vt:variant>
        <vt:i4>5</vt:i4>
      </vt:variant>
      <vt:variant>
        <vt:lpwstr>mailto:lynn.peters@wartburg.edu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FIELD EXPERIENCE – SW 181</dc:title>
  <dc:creator>Preferred Customer</dc:creator>
  <cp:lastModifiedBy>Tammy Faux</cp:lastModifiedBy>
  <cp:revision>2</cp:revision>
  <cp:lastPrinted>2014-01-27T17:22:00Z</cp:lastPrinted>
  <dcterms:created xsi:type="dcterms:W3CDTF">2018-12-18T19:07:00Z</dcterms:created>
  <dcterms:modified xsi:type="dcterms:W3CDTF">2018-12-18T19:07:00Z</dcterms:modified>
</cp:coreProperties>
</file>